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37818" w14:textId="77777777" w:rsidR="00A343E1" w:rsidRDefault="00A343E1" w:rsidP="00987A92">
      <w:pPr>
        <w:rPr>
          <w:b/>
          <w:bCs/>
        </w:rPr>
      </w:pPr>
    </w:p>
    <w:p w14:paraId="15632A01" w14:textId="5EAAABF3" w:rsidR="00987A92" w:rsidRPr="00987A92" w:rsidRDefault="00987A92" w:rsidP="00987A92">
      <w:r w:rsidRPr="00987A92">
        <w:rPr>
          <w:b/>
          <w:bCs/>
        </w:rPr>
        <w:t xml:space="preserve">Description of the NMSU </w:t>
      </w:r>
      <w:r w:rsidR="003A2B91">
        <w:rPr>
          <w:b/>
          <w:bCs/>
        </w:rPr>
        <w:t xml:space="preserve">Research Cores </w:t>
      </w:r>
      <w:r w:rsidRPr="00987A92">
        <w:rPr>
          <w:b/>
          <w:bCs/>
        </w:rPr>
        <w:t>HPC System</w:t>
      </w:r>
      <w:r w:rsidRPr="00987A92">
        <w:t xml:space="preserve"> </w:t>
      </w:r>
      <w:proofErr w:type="gramStart"/>
      <w:r w:rsidRPr="00987A92">
        <w:t>The</w:t>
      </w:r>
      <w:proofErr w:type="gramEnd"/>
      <w:r w:rsidRPr="00987A92">
        <w:t xml:space="preserve"> NMSU </w:t>
      </w:r>
      <w:proofErr w:type="gramStart"/>
      <w:r w:rsidRPr="00987A92">
        <w:t>High Performance</w:t>
      </w:r>
      <w:proofErr w:type="gramEnd"/>
      <w:r w:rsidRPr="00987A92">
        <w:t xml:space="preserve"> Computing environment comprises a heterogeneous, shared high-performance system designed to support data-intensive and AI-enabled research workflows. To ensure researchers receive both domain-specific expertise and robust enterprise-level infrastructure management, the cluster is supported through research cores at NMSU and jointly run with Information Technology (IT). </w:t>
      </w:r>
    </w:p>
    <w:p w14:paraId="184F274E" w14:textId="77777777" w:rsidR="00987A92" w:rsidRPr="00987A92" w:rsidRDefault="00987A92" w:rsidP="00987A92">
      <w:r w:rsidRPr="00987A92">
        <w:t xml:space="preserve">Purchasing hardware on the cluster guarantees on-demand access to the purchased resources and priority access to any idle </w:t>
      </w:r>
      <w:proofErr w:type="gramStart"/>
      <w:r w:rsidRPr="00987A92">
        <w:t>compute</w:t>
      </w:r>
      <w:proofErr w:type="gramEnd"/>
      <w:r w:rsidRPr="00987A92">
        <w:t xml:space="preserve"> resources. This allows investors to "burst out" into the main cluster, allowing access to more resources than a stand-alone system can offer, as well as contributing to the community resource when their purchased resources are idle.</w:t>
      </w:r>
    </w:p>
    <w:p w14:paraId="2FA3A4FE" w14:textId="77777777" w:rsidR="00987A92" w:rsidRPr="00987A92" w:rsidRDefault="00987A92" w:rsidP="00987A92">
      <w:r w:rsidRPr="00987A92">
        <w:t>The enterprise data center provides a professionally managed, secure, and environmentally controlled 24/7 facility. The data center features enhanced physical and data security, many-layered redundant power and cooling systems, and redundant high-speed networking to ensure high availability for critical research systems.</w:t>
      </w:r>
    </w:p>
    <w:p w14:paraId="33FD6CF4" w14:textId="77777777" w:rsidR="00987A92" w:rsidRPr="00987A92" w:rsidRDefault="00987A92" w:rsidP="00987A92">
      <w:r w:rsidRPr="00987A92">
        <w:rPr>
          <w:b/>
          <w:bCs/>
        </w:rPr>
        <w:t>Standard Compute Nodes</w:t>
      </w:r>
      <w:r w:rsidRPr="00987A92">
        <w:t xml:space="preserve"> We propose to purchase </w:t>
      </w:r>
      <w:r w:rsidRPr="00163EAF">
        <w:rPr>
          <w:highlight w:val="yellow"/>
        </w:rPr>
        <w:t>XX</w:t>
      </w:r>
      <w:r w:rsidRPr="00987A92">
        <w:t xml:space="preserve"> compute nodes to be installed in the NMSU HPC cluster. General-purpose compute capacity is provided by Dell PowerEdge R7725 nodes for preprocessing, simulation, and data engineering, each featuring dual 96-core AMD EPYC 9655 processors. NMSU provides dedicated staff through its research cores and IT departments to administer and maintain the cluster. NMSU guarantees on-demand and immediate access to the purchased nodes for no less than 5 years. </w:t>
      </w:r>
    </w:p>
    <w:p w14:paraId="1C49ADD3" w14:textId="77777777" w:rsidR="00987A92" w:rsidRPr="00987A92" w:rsidRDefault="00987A92" w:rsidP="00987A92">
      <w:r w:rsidRPr="00987A92">
        <w:rPr>
          <w:b/>
          <w:bCs/>
        </w:rPr>
        <w:t>GPU Nodes</w:t>
      </w:r>
      <w:r w:rsidRPr="00987A92">
        <w:t xml:space="preserve"> We propose to purchase </w:t>
      </w:r>
      <w:r w:rsidRPr="00163EAF">
        <w:rPr>
          <w:highlight w:val="yellow"/>
        </w:rPr>
        <w:t>XX</w:t>
      </w:r>
      <w:r w:rsidRPr="00987A92">
        <w:t xml:space="preserve"> GPU-accelerated compute nodes to be installed in the NMSU HPC cluster. GPU-accelerated resources include Dell PowerEdge XE7745 servers configured with NVIDIA RTX 6000 Blackwell GPUs and dual AMD EPYC 9575F processors, complemented by two XE7745 nodes equipped with NVIDIA H200 NVL (141 GB) GPUs interconnected via 4-way </w:t>
      </w:r>
      <w:proofErr w:type="spellStart"/>
      <w:r w:rsidRPr="00987A92">
        <w:t>NVLink</w:t>
      </w:r>
      <w:proofErr w:type="spellEnd"/>
      <w:r w:rsidRPr="00987A92">
        <w:t xml:space="preserve"> to support large-model training and memory-intensive workloads. NMSU provides dedicated staff through its research cores and IT departments to administer and maintain the cluster. NMSU guarantees on-demand and immediate access to the purchased nodes for no less than 5 years. </w:t>
      </w:r>
    </w:p>
    <w:p w14:paraId="519E41AE" w14:textId="77777777" w:rsidR="00987A92" w:rsidRPr="00987A92" w:rsidRDefault="00987A92" w:rsidP="00987A92">
      <w:r w:rsidRPr="00987A92">
        <w:rPr>
          <w:b/>
          <w:bCs/>
        </w:rPr>
        <w:t>Storage</w:t>
      </w:r>
      <w:r w:rsidRPr="00987A92">
        <w:t xml:space="preserve"> The system is supported by a centrally managed hybrid storage infrastructure providing 7.649 PB raw HDD and 161 TB raw flash capacity (7.168 PB usable HDD and 68 TB usable flash), enabling high-throughput data access and sustained performance across multiple concurrent research projects. </w:t>
      </w:r>
    </w:p>
    <w:p w14:paraId="1BB504C1" w14:textId="77777777" w:rsidR="00B45769" w:rsidRDefault="00B45769"/>
    <w:sectPr w:rsidR="00B457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A92"/>
    <w:rsid w:val="00163EAF"/>
    <w:rsid w:val="001C0B7F"/>
    <w:rsid w:val="003A2B91"/>
    <w:rsid w:val="003D1F3E"/>
    <w:rsid w:val="004D7F51"/>
    <w:rsid w:val="0071528A"/>
    <w:rsid w:val="00987A92"/>
    <w:rsid w:val="00A343E1"/>
    <w:rsid w:val="00B45769"/>
    <w:rsid w:val="00DB2811"/>
    <w:rsid w:val="00F95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7008A"/>
  <w15:chartTrackingRefBased/>
  <w15:docId w15:val="{4D9BA6AA-77F1-45BB-8388-AAB16F11C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7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A92"/>
    <w:rPr>
      <w:rFonts w:eastAsiaTheme="majorEastAsia" w:cstheme="majorBidi"/>
      <w:color w:val="272727" w:themeColor="text1" w:themeTint="D8"/>
    </w:rPr>
  </w:style>
  <w:style w:type="paragraph" w:styleId="Title">
    <w:name w:val="Title"/>
    <w:basedOn w:val="Normal"/>
    <w:next w:val="Normal"/>
    <w:link w:val="TitleChar"/>
    <w:uiPriority w:val="10"/>
    <w:qFormat/>
    <w:rsid w:val="00987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A92"/>
    <w:pPr>
      <w:spacing w:before="160"/>
      <w:jc w:val="center"/>
    </w:pPr>
    <w:rPr>
      <w:i/>
      <w:iCs/>
      <w:color w:val="404040" w:themeColor="text1" w:themeTint="BF"/>
    </w:rPr>
  </w:style>
  <w:style w:type="character" w:customStyle="1" w:styleId="QuoteChar">
    <w:name w:val="Quote Char"/>
    <w:basedOn w:val="DefaultParagraphFont"/>
    <w:link w:val="Quote"/>
    <w:uiPriority w:val="29"/>
    <w:rsid w:val="00987A92"/>
    <w:rPr>
      <w:i/>
      <w:iCs/>
      <w:color w:val="404040" w:themeColor="text1" w:themeTint="BF"/>
    </w:rPr>
  </w:style>
  <w:style w:type="paragraph" w:styleId="ListParagraph">
    <w:name w:val="List Paragraph"/>
    <w:basedOn w:val="Normal"/>
    <w:uiPriority w:val="34"/>
    <w:qFormat/>
    <w:rsid w:val="00987A92"/>
    <w:pPr>
      <w:ind w:left="720"/>
      <w:contextualSpacing/>
    </w:pPr>
  </w:style>
  <w:style w:type="character" w:styleId="IntenseEmphasis">
    <w:name w:val="Intense Emphasis"/>
    <w:basedOn w:val="DefaultParagraphFont"/>
    <w:uiPriority w:val="21"/>
    <w:qFormat/>
    <w:rsid w:val="00987A92"/>
    <w:rPr>
      <w:i/>
      <w:iCs/>
      <w:color w:val="0F4761" w:themeColor="accent1" w:themeShade="BF"/>
    </w:rPr>
  </w:style>
  <w:style w:type="paragraph" w:styleId="IntenseQuote">
    <w:name w:val="Intense Quote"/>
    <w:basedOn w:val="Normal"/>
    <w:next w:val="Normal"/>
    <w:link w:val="IntenseQuoteChar"/>
    <w:uiPriority w:val="30"/>
    <w:qFormat/>
    <w:rsid w:val="00987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A92"/>
    <w:rPr>
      <w:i/>
      <w:iCs/>
      <w:color w:val="0F4761" w:themeColor="accent1" w:themeShade="BF"/>
    </w:rPr>
  </w:style>
  <w:style w:type="character" w:styleId="IntenseReference">
    <w:name w:val="Intense Reference"/>
    <w:basedOn w:val="DefaultParagraphFont"/>
    <w:uiPriority w:val="32"/>
    <w:qFormat/>
    <w:rsid w:val="00987A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3ec87a8-9fb8-4158-ba8f-f11bace1ebaa}" enabled="0" method="" siteId="{a3ec87a8-9fb8-4158-ba8f-f11bace1ebaa}" removed="1"/>
</clbl:labelList>
</file>

<file path=docProps/app.xml><?xml version="1.0" encoding="utf-8"?>
<Properties xmlns="http://schemas.openxmlformats.org/officeDocument/2006/extended-properties" xmlns:vt="http://schemas.openxmlformats.org/officeDocument/2006/docPropsVTypes">
  <Template>Normal</Template>
  <TotalTime>30</TotalTime>
  <Pages>1</Pages>
  <Words>384</Words>
  <Characters>2190</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Wagler</dc:creator>
  <cp:keywords/>
  <dc:description/>
  <cp:lastModifiedBy>Amy Wagler</cp:lastModifiedBy>
  <cp:revision>3</cp:revision>
  <dcterms:created xsi:type="dcterms:W3CDTF">2026-05-26T20:54:00Z</dcterms:created>
  <dcterms:modified xsi:type="dcterms:W3CDTF">2026-07-23T18:42:00Z</dcterms:modified>
</cp:coreProperties>
</file>